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3DE83" w14:textId="77777777" w:rsidR="0074020A" w:rsidRPr="0074020A" w:rsidRDefault="0074020A" w:rsidP="007402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  <w:r w:rsidRPr="0074020A">
        <w:rPr>
          <w:rFonts w:ascii="Times New Roman" w:eastAsia="Calibri" w:hAnsi="Times New Roman" w:cs="Times New Roman"/>
          <w:b/>
          <w:sz w:val="24"/>
          <w:szCs w:val="24"/>
          <w:lang w:val="de-DE"/>
        </w:rPr>
        <w:t>AKT</w:t>
      </w:r>
    </w:p>
    <w:p w14:paraId="58AC33EF" w14:textId="77777777" w:rsidR="0074020A" w:rsidRPr="0074020A" w:rsidRDefault="0074020A" w:rsidP="007402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  <w:r w:rsidRPr="0074020A">
        <w:rPr>
          <w:rFonts w:ascii="Times New Roman" w:eastAsia="Calibri" w:hAnsi="Times New Roman" w:cs="Times New Roman"/>
          <w:b/>
          <w:sz w:val="24"/>
          <w:szCs w:val="24"/>
          <w:lang w:val="de-DE"/>
        </w:rPr>
        <w:t>LEPPETRAHVI MÄÄRAMISE KOHTA</w:t>
      </w:r>
    </w:p>
    <w:p w14:paraId="61514AB0" w14:textId="77777777" w:rsidR="0074020A" w:rsidRPr="0074020A" w:rsidRDefault="0074020A" w:rsidP="007402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</w:p>
    <w:p w14:paraId="06AB2D3D" w14:textId="763A87CF" w:rsidR="0074020A" w:rsidRPr="0074020A" w:rsidRDefault="0074020A" w:rsidP="007402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74020A">
        <w:rPr>
          <w:rFonts w:ascii="Times New Roman" w:eastAsia="Calibri" w:hAnsi="Times New Roman" w:cs="Times New Roman"/>
          <w:sz w:val="24"/>
          <w:szCs w:val="24"/>
          <w:lang w:val="de-DE"/>
        </w:rPr>
        <w:t>Lepingu nr ja nimetus:</w:t>
      </w:r>
      <w:r w:rsidR="00B65FB4" w:rsidRPr="00B65FB4">
        <w:t xml:space="preserve"> </w:t>
      </w:r>
      <w:r w:rsidR="00B65FB4" w:rsidRPr="00B65FB4">
        <w:rPr>
          <w:rFonts w:ascii="Times New Roman" w:eastAsia="Calibri" w:hAnsi="Times New Roman" w:cs="Times New Roman"/>
          <w:sz w:val="24"/>
          <w:szCs w:val="24"/>
          <w:lang w:val="de-DE"/>
        </w:rPr>
        <w:t>3.2-3/24/1183-1</w:t>
      </w:r>
      <w:r w:rsidR="00B65FB4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; </w:t>
      </w:r>
      <w:r w:rsidR="00AD3662">
        <w:rPr>
          <w:rFonts w:ascii="Times New Roman" w:eastAsia="Calibri" w:hAnsi="Times New Roman" w:cs="Times New Roman"/>
          <w:sz w:val="24"/>
          <w:szCs w:val="24"/>
          <w:lang w:val="de-DE"/>
        </w:rPr>
        <w:t>„</w:t>
      </w:r>
      <w:r w:rsidR="00B65FB4" w:rsidRPr="00B65FB4">
        <w:rPr>
          <w:rFonts w:ascii="Times New Roman" w:eastAsia="Calibri" w:hAnsi="Times New Roman" w:cs="Times New Roman"/>
          <w:sz w:val="24"/>
          <w:szCs w:val="24"/>
          <w:lang w:val="de-DE"/>
        </w:rPr>
        <w:t>Harju ja Rapla maakonna külmakahjustuste likvideerimine 2024</w:t>
      </w:r>
      <w:r w:rsidR="00AD3662">
        <w:rPr>
          <w:rFonts w:ascii="Times New Roman" w:eastAsia="Calibri" w:hAnsi="Times New Roman" w:cs="Times New Roman"/>
          <w:sz w:val="24"/>
          <w:szCs w:val="24"/>
          <w:lang w:val="de-DE"/>
        </w:rPr>
        <w:t>“</w:t>
      </w:r>
    </w:p>
    <w:p w14:paraId="6FF334D4" w14:textId="77777777" w:rsidR="0074020A" w:rsidRPr="0074020A" w:rsidRDefault="0074020A" w:rsidP="0074020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de-DE"/>
        </w:rPr>
      </w:pPr>
    </w:p>
    <w:p w14:paraId="603EA7A5" w14:textId="0A1E3C4C" w:rsidR="0074020A" w:rsidRPr="0074020A" w:rsidRDefault="00B65FB4" w:rsidP="007402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18.</w:t>
      </w:r>
      <w:r w:rsidR="0074020A" w:rsidRPr="007402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september</w:t>
      </w:r>
      <w:r w:rsidR="0074020A" w:rsidRPr="0074020A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>
        <w:rPr>
          <w:rFonts w:ascii="Times New Roman" w:eastAsia="Calibri" w:hAnsi="Times New Roman" w:cs="Times New Roman"/>
          <w:sz w:val="24"/>
          <w:szCs w:val="24"/>
        </w:rPr>
        <w:t>024</w:t>
      </w:r>
      <w:r w:rsidR="0074020A" w:rsidRPr="0074020A">
        <w:rPr>
          <w:rFonts w:ascii="Times New Roman" w:eastAsia="Calibri" w:hAnsi="Times New Roman" w:cs="Times New Roman"/>
          <w:sz w:val="24"/>
          <w:szCs w:val="24"/>
        </w:rPr>
        <w:t xml:space="preserve">.a on </w:t>
      </w:r>
      <w:r w:rsidR="0074020A">
        <w:rPr>
          <w:rFonts w:ascii="Times New Roman" w:eastAsia="Calibri" w:hAnsi="Times New Roman" w:cs="Times New Roman"/>
          <w:sz w:val="24"/>
          <w:szCs w:val="24"/>
        </w:rPr>
        <w:t>t</w:t>
      </w:r>
      <w:r w:rsidR="0074020A" w:rsidRPr="0074020A">
        <w:rPr>
          <w:rFonts w:ascii="Times New Roman" w:eastAsia="Calibri" w:hAnsi="Times New Roman" w:cs="Times New Roman"/>
          <w:sz w:val="24"/>
          <w:szCs w:val="24"/>
        </w:rPr>
        <w:t xml:space="preserve">öövõtjale </w:t>
      </w:r>
      <w:proofErr w:type="spellStart"/>
      <w:r w:rsidR="00AD3662">
        <w:rPr>
          <w:rFonts w:ascii="Times New Roman" w:eastAsia="Calibri" w:hAnsi="Times New Roman" w:cs="Times New Roman"/>
          <w:sz w:val="24"/>
          <w:szCs w:val="24"/>
        </w:rPr>
        <w:t>Viamer</w:t>
      </w:r>
      <w:proofErr w:type="spellEnd"/>
      <w:r w:rsidR="00AD3662">
        <w:rPr>
          <w:rFonts w:ascii="Times New Roman" w:eastAsia="Calibri" w:hAnsi="Times New Roman" w:cs="Times New Roman"/>
          <w:sz w:val="24"/>
          <w:szCs w:val="24"/>
        </w:rPr>
        <w:t xml:space="preserve"> Grupp OÜ (</w:t>
      </w:r>
      <w:proofErr w:type="spellStart"/>
      <w:r w:rsidR="00AD3662">
        <w:rPr>
          <w:rFonts w:ascii="Times New Roman" w:eastAsia="Calibri" w:hAnsi="Times New Roman" w:cs="Times New Roman"/>
          <w:sz w:val="24"/>
          <w:szCs w:val="24"/>
        </w:rPr>
        <w:t>reg</w:t>
      </w:r>
      <w:proofErr w:type="spellEnd"/>
      <w:r w:rsidR="00AD3662">
        <w:rPr>
          <w:rFonts w:ascii="Times New Roman" w:eastAsia="Calibri" w:hAnsi="Times New Roman" w:cs="Times New Roman"/>
          <w:sz w:val="24"/>
          <w:szCs w:val="24"/>
        </w:rPr>
        <w:t xml:space="preserve"> nr </w:t>
      </w:r>
      <w:r w:rsidR="00AD3662" w:rsidRPr="00AD3662">
        <w:rPr>
          <w:rFonts w:ascii="Times New Roman" w:eastAsia="Calibri" w:hAnsi="Times New Roman" w:cs="Times New Roman"/>
          <w:sz w:val="24"/>
          <w:szCs w:val="24"/>
        </w:rPr>
        <w:t>10728197</w:t>
      </w:r>
      <w:r w:rsidR="00AD3662">
        <w:rPr>
          <w:rFonts w:ascii="Times New Roman" w:eastAsia="Calibri" w:hAnsi="Times New Roman" w:cs="Times New Roman"/>
          <w:sz w:val="24"/>
          <w:szCs w:val="24"/>
        </w:rPr>
        <w:t>)</w:t>
      </w:r>
      <w:r w:rsidR="0074020A" w:rsidRPr="0074020A">
        <w:rPr>
          <w:rFonts w:ascii="Times New Roman" w:eastAsia="Calibri" w:hAnsi="Times New Roman" w:cs="Times New Roman"/>
          <w:sz w:val="24"/>
          <w:szCs w:val="24"/>
        </w:rPr>
        <w:t xml:space="preserve"> määratud leppetrahv tööde tegemise </w:t>
      </w:r>
      <w:r w:rsidR="00AD3662">
        <w:rPr>
          <w:rFonts w:ascii="Times New Roman" w:eastAsia="Calibri" w:hAnsi="Times New Roman" w:cs="Times New Roman"/>
          <w:sz w:val="24"/>
          <w:szCs w:val="24"/>
        </w:rPr>
        <w:t>ajutise liikluskorralduse nõuetest</w:t>
      </w:r>
      <w:r w:rsidR="0074020A" w:rsidRPr="0074020A">
        <w:rPr>
          <w:rFonts w:ascii="Times New Roman" w:eastAsia="Calibri" w:hAnsi="Times New Roman" w:cs="Times New Roman"/>
          <w:sz w:val="24"/>
          <w:szCs w:val="24"/>
        </w:rPr>
        <w:t xml:space="preserve"> mittekinnipidamise eest. </w:t>
      </w:r>
    </w:p>
    <w:p w14:paraId="5EB23DE1" w14:textId="7184A5F2" w:rsidR="0074020A" w:rsidRPr="0074020A" w:rsidRDefault="0074020A" w:rsidP="007402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20A">
        <w:rPr>
          <w:rFonts w:ascii="Times New Roman" w:eastAsia="Calibri" w:hAnsi="Times New Roman" w:cs="Times New Roman"/>
          <w:sz w:val="24"/>
          <w:szCs w:val="24"/>
        </w:rPr>
        <w:t xml:space="preserve">Leppetrahvid lepingu-, kvaliteedi-, tehnoloogia- ja liikluskorraldusnõuete rikkumise puhul määratakse ja vormistatakse 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Pr="0074020A">
        <w:rPr>
          <w:rFonts w:ascii="Times New Roman" w:eastAsia="Calibri" w:hAnsi="Times New Roman" w:cs="Times New Roman"/>
          <w:sz w:val="24"/>
          <w:szCs w:val="24"/>
        </w:rPr>
        <w:t xml:space="preserve">ellija või 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Pr="0074020A">
        <w:rPr>
          <w:rFonts w:ascii="Times New Roman" w:eastAsia="Calibri" w:hAnsi="Times New Roman" w:cs="Times New Roman"/>
          <w:sz w:val="24"/>
          <w:szCs w:val="24"/>
        </w:rPr>
        <w:t xml:space="preserve">ellija </w:t>
      </w: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74020A">
        <w:rPr>
          <w:rFonts w:ascii="Times New Roman" w:eastAsia="Calibri" w:hAnsi="Times New Roman" w:cs="Times New Roman"/>
          <w:sz w:val="24"/>
          <w:szCs w:val="24"/>
        </w:rPr>
        <w:t xml:space="preserve">rojektijuhi poolt. Leppetrahvi määramise kohta koostatud akti alusel esitab 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Pr="0074020A">
        <w:rPr>
          <w:rFonts w:ascii="Times New Roman" w:eastAsia="Calibri" w:hAnsi="Times New Roman" w:cs="Times New Roman"/>
          <w:sz w:val="24"/>
          <w:szCs w:val="24"/>
        </w:rPr>
        <w:t xml:space="preserve">ellija 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Pr="0074020A">
        <w:rPr>
          <w:rFonts w:ascii="Times New Roman" w:eastAsia="Calibri" w:hAnsi="Times New Roman" w:cs="Times New Roman"/>
          <w:sz w:val="24"/>
          <w:szCs w:val="24"/>
        </w:rPr>
        <w:t>öövõtjale nõude leppetrahvi tasumiseks.</w:t>
      </w:r>
    </w:p>
    <w:p w14:paraId="76FCD1E1" w14:textId="77777777" w:rsidR="0074020A" w:rsidRPr="0074020A" w:rsidRDefault="0074020A" w:rsidP="007402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5965"/>
        <w:gridCol w:w="1841"/>
      </w:tblGrid>
      <w:tr w:rsidR="0074020A" w:rsidRPr="0074020A" w14:paraId="0DD3C842" w14:textId="77777777" w:rsidTr="0074020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C8937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Märge määramise kohta</w:t>
            </w: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F325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Põhjus</w:t>
            </w:r>
          </w:p>
          <w:p w14:paraId="5494CF6C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3B2C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Leppetrahvi suurus (eurodes)</w:t>
            </w:r>
          </w:p>
          <w:p w14:paraId="7A78F81F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</w:tr>
      <w:tr w:rsidR="0074020A" w:rsidRPr="0074020A" w14:paraId="6B925330" w14:textId="77777777" w:rsidTr="0074020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3D5C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9A6F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Keskkonnanõuete eiramise eest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6E04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</w:p>
        </w:tc>
      </w:tr>
      <w:tr w:rsidR="0074020A" w:rsidRPr="0074020A" w14:paraId="2AA9BA3E" w14:textId="77777777" w:rsidTr="0074020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3A11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9217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Tööde ja materjalide kvaliteedi kontrolliga seotud mõõtmiste, katsetuste ja muude tegevuste eiramise eest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561E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  <w:p w14:paraId="7D07ADF6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020A" w:rsidRPr="0074020A" w14:paraId="035C0097" w14:textId="77777777" w:rsidTr="0074020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AA60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F426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Tellija või Inseneri poolt tehtud pistelise proovi tulemusel kvaliteedinõuetest avastatud kõrvalekaldumiste eest, millest Töövõtja ei ole kirjalikult Inseneri teavitanud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3663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</w:p>
          <w:p w14:paraId="4D6052F9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020A" w:rsidRPr="0074020A" w14:paraId="6C3E2D21" w14:textId="77777777" w:rsidTr="0074020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4412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4E9D" w14:textId="6A8E492F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Omavoliliselt, ilma kooskõlastuseta töövõtja poolt põhjustatud liikluse seiskamise eest tee(de)l vähemalt 5 minutiks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C26A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600</w:t>
            </w:r>
          </w:p>
        </w:tc>
      </w:tr>
      <w:tr w:rsidR="0074020A" w:rsidRPr="0074020A" w14:paraId="159B6BDD" w14:textId="77777777" w:rsidTr="0074020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35EA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0D48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iga järgmise 5 min eest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2A44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</w:p>
        </w:tc>
      </w:tr>
      <w:tr w:rsidR="0074020A" w:rsidRPr="0074020A" w14:paraId="796BFBF3" w14:textId="77777777" w:rsidTr="0074020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CC30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0B2D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Töövõtja poolt tööde ja materjalide kvaliteedi kontrolliga seotud dokumentides, tööde vastuvõtu aruannetes või objektipäevikutes olulise iseloomuga mittetõepäraste andmete esitamise eest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B0F7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3200</w:t>
            </w:r>
          </w:p>
          <w:p w14:paraId="74B5B19E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020A" w:rsidRPr="0074020A" w14:paraId="2859FA63" w14:textId="77777777" w:rsidTr="0074020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80E7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FFDA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Dokumentide sh. kaetud tööde akt, teostusjoonis, objektipäevikute jne </w:t>
            </w:r>
            <w:r w:rsidRPr="007402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mitteõigeaegse või ebakohase täitmise või mittetäitmise eest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112E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</w:tr>
      <w:tr w:rsidR="0074020A" w:rsidRPr="0074020A" w14:paraId="5009EADF" w14:textId="77777777" w:rsidTr="0074020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784A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7DEF" w14:textId="77777777" w:rsidR="0074020A" w:rsidRPr="0074020A" w:rsidRDefault="0074020A" w:rsidP="00740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0581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</w:tr>
      <w:tr w:rsidR="0074020A" w:rsidRPr="0074020A" w14:paraId="7C359C11" w14:textId="77777777" w:rsidTr="0074020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5204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379A" w14:textId="77777777" w:rsidR="0074020A" w:rsidRPr="0074020A" w:rsidRDefault="0074020A" w:rsidP="00740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C1BF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</w:p>
        </w:tc>
      </w:tr>
      <w:tr w:rsidR="0074020A" w:rsidRPr="0074020A" w14:paraId="70C6E8D4" w14:textId="77777777" w:rsidTr="0074020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36A8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95E3" w14:textId="75DA56D0" w:rsidR="0074020A" w:rsidRPr="0074020A" w:rsidRDefault="0074020A" w:rsidP="00740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Objekti teenindusvedudel (pinnase-, asfaltbetooni, konstruktsioonide jne veod) sõidukite (sh veoautodele koos haagisega või ilma, autorongidele, masinrongidele)</w:t>
            </w:r>
            <w:r w:rsidRPr="007402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kehtestatud igakordse registrimassi ületamise eest. Kaalumise puhul on Tellija mõõtmise veaks 5% registrimassist, seda ületades nõuab Tellija leppetrahvi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EA8D" w14:textId="156D3EB0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iga ületatud 1 kilogrammi eest 1 euro </w:t>
            </w:r>
          </w:p>
        </w:tc>
      </w:tr>
      <w:tr w:rsidR="0074020A" w:rsidRPr="0074020A" w14:paraId="6EF73321" w14:textId="77777777" w:rsidTr="0074020A">
        <w:trPr>
          <w:trHeight w:val="1759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0368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5FF6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Järgmise etapi või tööde alustamisega viivitamise eest kalendergraafikuga võrreldes (järgmise kattekonstruktsiooni kihi paigaldamisega, märgistustöödega pärast asfaltkatte viimase kihi paigaldamist, piirde- ja tähispostide paigaldamisega pärast teepeenra vastuvõtmist jne)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162A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Kuni 1000</w:t>
            </w:r>
          </w:p>
        </w:tc>
      </w:tr>
      <w:tr w:rsidR="0074020A" w:rsidRPr="0074020A" w14:paraId="4F67BD34" w14:textId="77777777" w:rsidTr="0074020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6C15" w14:textId="72119563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151B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Tööde tegemisel puudub Tellijaga kooskõlastatud liikluskorraldusprojekt või puuduvad objekti töötsooni tähistavad liiklusmärgid või tähistus ei vasta nõuetele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7E7A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FB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1000</w:t>
            </w:r>
          </w:p>
          <w:p w14:paraId="794B0E12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020A" w:rsidRPr="0074020A" w14:paraId="031E6545" w14:textId="77777777" w:rsidTr="0074020A">
        <w:trPr>
          <w:trHeight w:val="1255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46AF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9CC2" w14:textId="00504D53" w:rsidR="0074020A" w:rsidRPr="0074020A" w:rsidRDefault="0074020A" w:rsidP="007402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0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Töövõtjaga seotud isikud ei kasuta objektil nõuetekohaseid ohutusveste või teel töötavad mehhanismid ei kasuta vilkureid</w:t>
            </w:r>
            <w:r w:rsidRPr="00740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40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või vilkur ja selle kasutamine ei vasta LS § 44, § 84 (4)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C1FA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74020A" w:rsidRPr="0074020A" w14:paraId="68FF13A3" w14:textId="77777777" w:rsidTr="0074020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CC8D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17D1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6833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</w:tr>
      <w:tr w:rsidR="0074020A" w:rsidRPr="0074020A" w14:paraId="517306B4" w14:textId="77777777" w:rsidTr="0074020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4D60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22AB2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F22B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</w:tr>
      <w:tr w:rsidR="0074020A" w:rsidRPr="0074020A" w14:paraId="33ADC10E" w14:textId="77777777" w:rsidTr="0074020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123D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9437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Liikluskorralduse muudatustest ei ole liiklejaid teavitatud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C497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74020A" w:rsidRPr="0074020A" w14:paraId="6997A97F" w14:textId="77777777" w:rsidTr="0074020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F4A7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77D7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Kõikide muude liikluskorralduse, liikluskorralduse teavitamise või tööohutuse alaste rikkumiste eest või kõrvalekaldumiste puhul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76C2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Kuni 300</w:t>
            </w:r>
          </w:p>
        </w:tc>
      </w:tr>
      <w:tr w:rsidR="0074020A" w:rsidRPr="0074020A" w14:paraId="1B197614" w14:textId="77777777" w:rsidTr="0074020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4FBD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075D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3E72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</w:tr>
      <w:tr w:rsidR="0074020A" w:rsidRPr="0074020A" w14:paraId="27D370D3" w14:textId="77777777" w:rsidTr="0074020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AEDD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26B4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C01A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</w:tr>
      <w:tr w:rsidR="0074020A" w:rsidRPr="0074020A" w14:paraId="22933A15" w14:textId="77777777" w:rsidTr="0074020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1E26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8D4C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Tee seisundinõude rikkumise eest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48E5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74020A" w:rsidRPr="0074020A" w14:paraId="610D4197" w14:textId="77777777" w:rsidTr="0074020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0226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24B6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4574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</w:tr>
      <w:tr w:rsidR="0074020A" w:rsidRPr="0074020A" w14:paraId="6B894487" w14:textId="77777777" w:rsidTr="0074020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1E83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6D91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35AE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</w:tr>
      <w:tr w:rsidR="0074020A" w:rsidRPr="0074020A" w14:paraId="3E0358CB" w14:textId="77777777" w:rsidTr="0074020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D39A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656E" w14:textId="23B3069A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Garantiitööde kokkulepitud ajalise, liikluskorralduslike või muude piirangute tähtajast mittekinnipidamise eest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066E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Kuni 2000 iga päeva eest</w:t>
            </w:r>
          </w:p>
        </w:tc>
      </w:tr>
      <w:tr w:rsidR="0074020A" w:rsidRPr="0074020A" w14:paraId="66B77E41" w14:textId="77777777" w:rsidTr="0074020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2B61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F497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Järgmise nädala tööde graafiku esitamata jätmise või vale graafiku esitamise või graafikus esitatud tööde mitteteostamise eest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2238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Kuni 600</w:t>
            </w:r>
          </w:p>
        </w:tc>
      </w:tr>
      <w:tr w:rsidR="0074020A" w:rsidRPr="0074020A" w14:paraId="6A6F608B" w14:textId="77777777" w:rsidTr="0074020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817F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9E9B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Puudulikest töö dokumenteerimistest tulenevad rikkumised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865C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74020A" w:rsidRPr="0074020A" w14:paraId="2C3F8AE0" w14:textId="77777777" w:rsidTr="0074020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AEB4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130B" w14:textId="63CCCB03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Kõik muud eelpool nimetamata rikkumised, iga rikkumise eest,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7D2B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Kuni 10000</w:t>
            </w:r>
          </w:p>
        </w:tc>
      </w:tr>
    </w:tbl>
    <w:p w14:paraId="1CBF8C51" w14:textId="77777777" w:rsidR="0074020A" w:rsidRPr="0074020A" w:rsidRDefault="0074020A" w:rsidP="007402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76CA33" w14:textId="77777777" w:rsidR="0074020A" w:rsidRPr="0074020A" w:rsidRDefault="0074020A" w:rsidP="007402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4020A" w:rsidRPr="0074020A" w14:paraId="5CFF3351" w14:textId="77777777" w:rsidTr="0074020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8356" w14:textId="3934C469" w:rsidR="003F3060" w:rsidRPr="003F3060" w:rsidRDefault="0074020A" w:rsidP="003F30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Inseneri selgitused: </w:t>
            </w:r>
            <w:r w:rsidR="003F3060" w:rsidRPr="001634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F3060" w:rsidRPr="003F3060">
              <w:rPr>
                <w:rFonts w:ascii="Times New Roman" w:eastAsia="Calibri" w:hAnsi="Times New Roman" w:cs="Times New Roman"/>
                <w:sz w:val="24"/>
                <w:szCs w:val="24"/>
              </w:rPr>
              <w:t>2.09.2024 teostat</w:t>
            </w:r>
            <w:r w:rsidR="001634D0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3F3060" w:rsidRPr="003F3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34D0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="003F3060" w:rsidRPr="003F3060">
              <w:rPr>
                <w:rFonts w:ascii="Times New Roman" w:eastAsia="Calibri" w:hAnsi="Times New Roman" w:cs="Times New Roman"/>
                <w:sz w:val="24"/>
                <w:szCs w:val="24"/>
              </w:rPr>
              <w:t>iigitee nr 11250 km 17,2-18,2 Viimsi-Randvere ringristmiku asfalteerimistöid.</w:t>
            </w:r>
            <w:r w:rsidR="00163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F3060" w:rsidRPr="003F3060">
              <w:rPr>
                <w:rFonts w:ascii="Times New Roman" w:eastAsia="Calibri" w:hAnsi="Times New Roman" w:cs="Times New Roman"/>
                <w:sz w:val="24"/>
                <w:szCs w:val="24"/>
              </w:rPr>
              <w:t>Vastavalt Transpordiameti Teehoiuteenistuse põhja osakonna korrashoiu ja liikluskorralduse üksuse liiklu</w:t>
            </w:r>
            <w:r w:rsidR="00534961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3F3060" w:rsidRPr="003F3060">
              <w:rPr>
                <w:rFonts w:ascii="Times New Roman" w:eastAsia="Calibri" w:hAnsi="Times New Roman" w:cs="Times New Roman"/>
                <w:sz w:val="24"/>
                <w:szCs w:val="24"/>
              </w:rPr>
              <w:t>korral</w:t>
            </w:r>
            <w:r w:rsidR="00534961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3F3060" w:rsidRPr="003F3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aja nõuetele tuli ringristmiku sulgemiseks taotleda riigitee sulgemise luba. </w:t>
            </w:r>
          </w:p>
          <w:p w14:paraId="37D454FB" w14:textId="7FF675D4" w:rsidR="003F3060" w:rsidRPr="003F3060" w:rsidRDefault="003F3060" w:rsidP="003F30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060">
              <w:rPr>
                <w:rFonts w:ascii="Times New Roman" w:eastAsia="Calibri" w:hAnsi="Times New Roman" w:cs="Times New Roman"/>
                <w:sz w:val="24"/>
                <w:szCs w:val="24"/>
              </w:rPr>
              <w:t>Sul</w:t>
            </w:r>
            <w:r w:rsidR="00C36891"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  <w:r w:rsidRPr="003F3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emise loa </w:t>
            </w:r>
            <w:r w:rsidR="00534961" w:rsidRPr="00534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põhjal (10.09.2024 nr 7.1-6/24/15436-2) </w:t>
            </w:r>
            <w:r w:rsidRPr="003F3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pidi olema </w:t>
            </w:r>
            <w:r w:rsidR="00C368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liiklus </w:t>
            </w:r>
            <w:r w:rsidRPr="003F3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ringristmiku suunal tõkestatud ning liiklus ümber suunatud vastavalt sulgemise skeemile. Täissulgemine oli arvestanud </w:t>
            </w:r>
            <w:r w:rsidR="00534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ajavahemikule </w:t>
            </w:r>
            <w:r w:rsidR="00534961" w:rsidRPr="0053496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53496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534961" w:rsidRPr="00534961">
              <w:rPr>
                <w:rFonts w:ascii="Times New Roman" w:eastAsia="Calibri" w:hAnsi="Times New Roman" w:cs="Times New Roman"/>
                <w:sz w:val="24"/>
                <w:szCs w:val="24"/>
              </w:rPr>
              <w:t>30-05</w:t>
            </w:r>
            <w:r w:rsidR="0053496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534961" w:rsidRPr="0053496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3F3060">
              <w:rPr>
                <w:rFonts w:ascii="Times New Roman" w:eastAsia="Calibri" w:hAnsi="Times New Roman" w:cs="Times New Roman"/>
                <w:sz w:val="24"/>
                <w:szCs w:val="24"/>
              </w:rPr>
              <w:t>, et viimased ühistranspordi</w:t>
            </w:r>
            <w:r w:rsidR="00C368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sõidukid </w:t>
            </w:r>
            <w:r w:rsidRPr="003F3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saaksid </w:t>
            </w:r>
            <w:r w:rsidR="00C36891">
              <w:rPr>
                <w:rFonts w:ascii="Times New Roman" w:eastAsia="Calibri" w:hAnsi="Times New Roman" w:cs="Times New Roman"/>
                <w:sz w:val="24"/>
                <w:szCs w:val="24"/>
              </w:rPr>
              <w:t>liini</w:t>
            </w:r>
            <w:r w:rsidRPr="003F3060">
              <w:rPr>
                <w:rFonts w:ascii="Times New Roman" w:eastAsia="Calibri" w:hAnsi="Times New Roman" w:cs="Times New Roman"/>
                <w:sz w:val="24"/>
                <w:szCs w:val="24"/>
              </w:rPr>
              <w:t>graafiku</w:t>
            </w:r>
            <w:r w:rsidR="00C368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kohaselt </w:t>
            </w:r>
            <w:r w:rsidRPr="003F3060">
              <w:rPr>
                <w:rFonts w:ascii="Times New Roman" w:eastAsia="Calibri" w:hAnsi="Times New Roman" w:cs="Times New Roman"/>
                <w:sz w:val="24"/>
                <w:szCs w:val="24"/>
              </w:rPr>
              <w:t>läbi</w:t>
            </w:r>
            <w:r w:rsidR="00C368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ringi</w:t>
            </w:r>
            <w:r w:rsidRPr="003F3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34961" w:rsidRPr="00534961">
              <w:rPr>
                <w:rFonts w:ascii="Times New Roman" w:eastAsia="Calibri" w:hAnsi="Times New Roman" w:cs="Times New Roman"/>
                <w:sz w:val="24"/>
                <w:szCs w:val="24"/>
              </w:rPr>
              <w:t>teetööde eel ja järgselt</w:t>
            </w:r>
            <w:r w:rsidR="005349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7CCF9BF" w14:textId="77777777" w:rsidR="003F3060" w:rsidRPr="003F3060" w:rsidRDefault="003F3060" w:rsidP="003F30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E65BEB" w14:textId="77777777" w:rsidR="00C36891" w:rsidRDefault="003F3060" w:rsidP="003F30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Töövõtja põhjendusel muudeti tööde teostamise aega viimasel hetkel varasemaks (seoses muutunud ilmastiku prognoosiga), sellest tulenevalt alustati asfalteerimistöödega enne lubatud aega. Ringistmiku asfalteerimistöödega alustati 19:00 ja 19:30 vahel, </w:t>
            </w:r>
            <w:proofErr w:type="spellStart"/>
            <w:r w:rsidRPr="003F3060">
              <w:rPr>
                <w:rFonts w:ascii="Times New Roman" w:eastAsia="Calibri" w:hAnsi="Times New Roman" w:cs="Times New Roman"/>
                <w:sz w:val="24"/>
                <w:szCs w:val="24"/>
              </w:rPr>
              <w:t>järeltihendamise</w:t>
            </w:r>
            <w:proofErr w:type="spellEnd"/>
            <w:r w:rsidRPr="003F3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tööd lõppesid 00:00. </w:t>
            </w:r>
          </w:p>
          <w:p w14:paraId="20AB0723" w14:textId="37F3369A" w:rsidR="003F3060" w:rsidRDefault="003F3060" w:rsidP="003F30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Insener jõudis objektile 19:41, selleks ajaks oli ringi sisemine paan juba asfalteeritud. Insener juhtis </w:t>
            </w:r>
            <w:r w:rsidR="00C368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koheselt </w:t>
            </w:r>
            <w:r w:rsidRPr="003F3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tähelepanu, et kooskõlastatud sulgemise skeemist ei peeta kinni (sulgemise märgid puudusid ja ka ümbersõidu suunaviidad olid puudu). Pidi toimuma ringi täielik sulgemine ja liiklusvoo ümbersuunamine, reaalsuses sõideti kohati värskel asfaltkatte paanil ning </w:t>
            </w:r>
            <w:proofErr w:type="spellStart"/>
            <w:r w:rsidRPr="003F3060">
              <w:rPr>
                <w:rFonts w:ascii="Times New Roman" w:eastAsia="Calibri" w:hAnsi="Times New Roman" w:cs="Times New Roman"/>
                <w:sz w:val="24"/>
                <w:szCs w:val="24"/>
              </w:rPr>
              <w:t>reguleerijad</w:t>
            </w:r>
            <w:proofErr w:type="spellEnd"/>
            <w:r w:rsidRPr="003F3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suunasid sõidukid ja bussid ümber kasutades ringi kõr</w:t>
            </w:r>
            <w:r w:rsidR="00C36891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Pr="003F3060">
              <w:rPr>
                <w:rFonts w:ascii="Times New Roman" w:eastAsia="Calibri" w:hAnsi="Times New Roman" w:cs="Times New Roman"/>
                <w:sz w:val="24"/>
                <w:szCs w:val="24"/>
              </w:rPr>
              <w:t>al olevat kergliiklusteed.</w:t>
            </w:r>
          </w:p>
          <w:p w14:paraId="3E90EB9E" w14:textId="77777777" w:rsidR="003F3060" w:rsidRDefault="003F3060" w:rsidP="003F30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2B7F44" w14:textId="22A6251A" w:rsidR="003F3060" w:rsidRPr="003F3060" w:rsidRDefault="003F3060" w:rsidP="003F30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060">
              <w:rPr>
                <w:rFonts w:ascii="Times New Roman" w:eastAsia="Calibri" w:hAnsi="Times New Roman" w:cs="Times New Roman"/>
                <w:sz w:val="24"/>
                <w:szCs w:val="24"/>
              </w:rPr>
              <w:t>Kuna liikluskorralduse tähistus</w:t>
            </w:r>
            <w:r w:rsidR="00C36891">
              <w:rPr>
                <w:rFonts w:ascii="Times New Roman" w:eastAsia="Calibri" w:hAnsi="Times New Roman" w:cs="Times New Roman"/>
                <w:sz w:val="24"/>
                <w:szCs w:val="24"/>
              </w:rPr>
              <w:t>, märkide paigutus</w:t>
            </w:r>
            <w:r w:rsidRPr="003F3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ei vastanud nõuetele, tööde tegemisel kasutatud ajutine liikluskorraldus ei vastanud Tellijaga kooskõlastatud liikluskorraldusprojektile</w:t>
            </w:r>
            <w:r w:rsidR="00C368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ning ei peetud kinni sulgemise loa tingimustest</w:t>
            </w:r>
            <w:r w:rsidRPr="003F3060">
              <w:rPr>
                <w:rFonts w:ascii="Times New Roman" w:eastAsia="Calibri" w:hAnsi="Times New Roman" w:cs="Times New Roman"/>
                <w:sz w:val="24"/>
                <w:szCs w:val="24"/>
              </w:rPr>
              <w:t>, siis määratakse nimetatud rikkumise alusel vastavalt Lisa 4 tabelile leppetrahv</w:t>
            </w:r>
            <w:r w:rsidR="00C36891">
              <w:rPr>
                <w:rFonts w:ascii="Times New Roman" w:eastAsia="Calibri" w:hAnsi="Times New Roman" w:cs="Times New Roman"/>
                <w:sz w:val="24"/>
                <w:szCs w:val="24"/>
              </w:rPr>
              <w:t>iks</w:t>
            </w:r>
            <w:r w:rsidRPr="003F3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1000 eurot.</w:t>
            </w:r>
          </w:p>
          <w:p w14:paraId="7A5CA6F6" w14:textId="77777777" w:rsidR="00AD3662" w:rsidRDefault="00AD3662" w:rsidP="00740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12961C8" w14:textId="77777777" w:rsidR="00AD3662" w:rsidRDefault="00AD3662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Tellija Projektijuhi selgitused: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3662">
              <w:rPr>
                <w:rFonts w:ascii="Times New Roman" w:eastAsia="Calibri" w:hAnsi="Times New Roman" w:cs="Times New Roman"/>
                <w:sz w:val="24"/>
                <w:szCs w:val="24"/>
              </w:rPr>
              <w:t>Tellija otsustab leppetrahvi suuruseks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="00B135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eurot.</w:t>
            </w:r>
          </w:p>
          <w:p w14:paraId="1738115F" w14:textId="34307869" w:rsidR="00C36891" w:rsidRPr="0074020A" w:rsidRDefault="00C36891" w:rsidP="00740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FAEC4D0" w14:textId="77777777" w:rsidR="0074020A" w:rsidRDefault="0074020A" w:rsidP="007402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60810B" w14:textId="42952B66" w:rsidR="0074020A" w:rsidRPr="0074020A" w:rsidRDefault="0074020A" w:rsidP="007402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020A">
        <w:rPr>
          <w:rFonts w:ascii="Times New Roman" w:eastAsia="Calibri" w:hAnsi="Times New Roman" w:cs="Times New Roman"/>
          <w:sz w:val="24"/>
          <w:szCs w:val="24"/>
        </w:rPr>
        <w:t>Akti koostas:</w:t>
      </w:r>
      <w:r w:rsidRPr="0074020A">
        <w:rPr>
          <w:rFonts w:ascii="Times New Roman" w:eastAsia="Calibri" w:hAnsi="Times New Roman" w:cs="Times New Roman"/>
          <w:sz w:val="24"/>
          <w:szCs w:val="24"/>
        </w:rPr>
        <w:tab/>
      </w:r>
      <w:r w:rsidRPr="0074020A">
        <w:rPr>
          <w:rFonts w:ascii="Times New Roman" w:eastAsia="Calibri" w:hAnsi="Times New Roman" w:cs="Times New Roman"/>
          <w:sz w:val="24"/>
          <w:szCs w:val="24"/>
        </w:rPr>
        <w:tab/>
      </w:r>
      <w:r w:rsidRPr="0074020A">
        <w:rPr>
          <w:rFonts w:ascii="Times New Roman" w:eastAsia="Calibri" w:hAnsi="Times New Roman" w:cs="Times New Roman"/>
          <w:sz w:val="24"/>
          <w:szCs w:val="24"/>
        </w:rPr>
        <w:tab/>
      </w:r>
      <w:r w:rsidRPr="0074020A">
        <w:rPr>
          <w:rFonts w:ascii="Times New Roman" w:eastAsia="Calibri" w:hAnsi="Times New Roman" w:cs="Times New Roman"/>
          <w:sz w:val="24"/>
          <w:szCs w:val="24"/>
        </w:rPr>
        <w:tab/>
      </w:r>
      <w:r w:rsidRPr="0074020A">
        <w:rPr>
          <w:rFonts w:ascii="Times New Roman" w:eastAsia="Calibri" w:hAnsi="Times New Roman" w:cs="Times New Roman"/>
          <w:sz w:val="24"/>
          <w:szCs w:val="24"/>
        </w:rPr>
        <w:tab/>
      </w:r>
    </w:p>
    <w:p w14:paraId="22435BF0" w14:textId="77777777" w:rsidR="0074020A" w:rsidRPr="0074020A" w:rsidRDefault="0074020A" w:rsidP="007402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2AD0F8" w14:textId="59FA3BFB" w:rsidR="0074020A" w:rsidRPr="0074020A" w:rsidRDefault="00AD3662" w:rsidP="007402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Kaido Liik</w:t>
      </w:r>
      <w:r w:rsidR="0074020A" w:rsidRPr="0074020A">
        <w:rPr>
          <w:rFonts w:ascii="Times New Roman" w:eastAsia="Calibri" w:hAnsi="Times New Roman" w:cs="Times New Roman"/>
          <w:sz w:val="24"/>
          <w:szCs w:val="24"/>
        </w:rPr>
        <w:t xml:space="preserve"> (Insener)</w:t>
      </w:r>
      <w:r w:rsidR="0074020A" w:rsidRPr="0074020A">
        <w:rPr>
          <w:rFonts w:ascii="Times New Roman" w:eastAsia="Calibri" w:hAnsi="Times New Roman" w:cs="Times New Roman"/>
          <w:sz w:val="24"/>
          <w:szCs w:val="24"/>
        </w:rPr>
        <w:tab/>
      </w:r>
      <w:r w:rsidR="0074020A" w:rsidRPr="0074020A">
        <w:rPr>
          <w:rFonts w:ascii="Times New Roman" w:eastAsia="Calibri" w:hAnsi="Times New Roman" w:cs="Times New Roman"/>
          <w:sz w:val="24"/>
          <w:szCs w:val="24"/>
        </w:rPr>
        <w:tab/>
      </w:r>
    </w:p>
    <w:p w14:paraId="7956E642" w14:textId="77777777" w:rsidR="00872CA4" w:rsidRDefault="00872CA4"/>
    <w:sectPr w:rsidR="00872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0A"/>
    <w:rsid w:val="001634D0"/>
    <w:rsid w:val="003F3060"/>
    <w:rsid w:val="00534961"/>
    <w:rsid w:val="0074020A"/>
    <w:rsid w:val="00872CA4"/>
    <w:rsid w:val="00AA4CF3"/>
    <w:rsid w:val="00AD3662"/>
    <w:rsid w:val="00B1354C"/>
    <w:rsid w:val="00B65FB4"/>
    <w:rsid w:val="00C36891"/>
    <w:rsid w:val="00CB71B2"/>
    <w:rsid w:val="00D8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C84A"/>
  <w15:chartTrackingRefBased/>
  <w15:docId w15:val="{28E55358-2982-4CC3-A4E6-5D9EED10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35F99A8B84240933EE3EA143090C7" ma:contentTypeVersion="17" ma:contentTypeDescription="Create a new document." ma:contentTypeScope="" ma:versionID="3abd4ccdda0bf87261aca120e865cf56">
  <xsd:schema xmlns:xsd="http://www.w3.org/2001/XMLSchema" xmlns:xs="http://www.w3.org/2001/XMLSchema" xmlns:p="http://schemas.microsoft.com/office/2006/metadata/properties" xmlns:ns2="20e6b67c-f8f2-4775-95b5-7e9906563aee" xmlns:ns3="c5174803-93b5-40c2-9bcb-f9c7c86d6ce8" targetNamespace="http://schemas.microsoft.com/office/2006/metadata/properties" ma:root="true" ma:fieldsID="043c10d39235be44cebdd6f5352a79ef" ns2:_="" ns3:_="">
    <xsd:import namespace="20e6b67c-f8f2-4775-95b5-7e9906563aee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Kommentaa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6b67c-f8f2-4775-95b5-7e9906563a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ommentaar" ma:index="14" nillable="true" ma:displayName="Kommentaar" ma:format="Dropdown" ma:internalName="Kommentaar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ar xmlns="20e6b67c-f8f2-4775-95b5-7e9906563aee" xsi:nil="true"/>
    <TaxCatchAll xmlns="c5174803-93b5-40c2-9bcb-f9c7c86d6ce8" xsi:nil="true"/>
    <lcf76f155ced4ddcb4097134ff3c332f xmlns="20e6b67c-f8f2-4775-95b5-7e9906563ae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F464FF-9FD2-4AF4-8A07-179FE698B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6b67c-f8f2-4775-95b5-7e9906563aee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159CCC-F435-475C-9AC9-F2A89A2C72EE}">
  <ds:schemaRefs>
    <ds:schemaRef ds:uri="http://schemas.microsoft.com/office/2006/metadata/properties"/>
    <ds:schemaRef ds:uri="http://schemas.microsoft.com/office/infopath/2007/PartnerControls"/>
    <ds:schemaRef ds:uri="20e6b67c-f8f2-4775-95b5-7e9906563aee"/>
    <ds:schemaRef ds:uri="c5174803-93b5-40c2-9bcb-f9c7c86d6ce8"/>
  </ds:schemaRefs>
</ds:datastoreItem>
</file>

<file path=customXml/itemProps3.xml><?xml version="1.0" encoding="utf-8"?>
<ds:datastoreItem xmlns:ds="http://schemas.openxmlformats.org/officeDocument/2006/customXml" ds:itemID="{4DAE0D57-7164-4A4C-BA48-06EA02D3FE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766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Gertrud Palu</dc:creator>
  <cp:keywords/>
  <dc:description/>
  <cp:lastModifiedBy>Kaido Liik</cp:lastModifiedBy>
  <cp:revision>8</cp:revision>
  <dcterms:created xsi:type="dcterms:W3CDTF">2023-05-03T12:37:00Z</dcterms:created>
  <dcterms:modified xsi:type="dcterms:W3CDTF">2024-09-19T10:00:00Z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0x01010098C35F99A8B84240933EE3EA143090C7</vt:lpwstr>
  </property>
</Properties>
</file>